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89" w:rsidRPr="00553989" w:rsidRDefault="00553989" w:rsidP="00553989">
      <w:pPr>
        <w:spacing w:after="0"/>
        <w:jc w:val="center"/>
        <w:rPr>
          <w:b/>
          <w:sz w:val="44"/>
        </w:rPr>
      </w:pPr>
      <w:r w:rsidRPr="00553989">
        <w:rPr>
          <w:b/>
          <w:sz w:val="44"/>
        </w:rPr>
        <w:t>Making Sense of Mathematics</w:t>
      </w:r>
      <w:bookmarkStart w:id="0" w:name="_GoBack"/>
      <w:bookmarkEnd w:id="0"/>
    </w:p>
    <w:p w:rsidR="009620D1" w:rsidRPr="00553989" w:rsidRDefault="00961377" w:rsidP="00553989">
      <w:pPr>
        <w:spacing w:after="0"/>
        <w:jc w:val="center"/>
        <w:rPr>
          <w:b/>
          <w:sz w:val="24"/>
        </w:rPr>
      </w:pPr>
      <w:r w:rsidRPr="00553989">
        <w:rPr>
          <w:b/>
          <w:sz w:val="24"/>
        </w:rPr>
        <w:t>Attributes (Quantities and Aspects)</w:t>
      </w:r>
      <w:r w:rsidR="00553989" w:rsidRPr="00553989">
        <w:rPr>
          <w:b/>
          <w:sz w:val="24"/>
        </w:rPr>
        <w:t xml:space="preserve"> that can be Counted or Measured</w:t>
      </w:r>
    </w:p>
    <w:tbl>
      <w:tblPr>
        <w:tblStyle w:val="TableGrid"/>
        <w:tblW w:w="12685" w:type="dxa"/>
        <w:tblLook w:val="04A0" w:firstRow="1" w:lastRow="0" w:firstColumn="1" w:lastColumn="0" w:noHBand="0" w:noVBand="1"/>
      </w:tblPr>
      <w:tblGrid>
        <w:gridCol w:w="531"/>
        <w:gridCol w:w="1428"/>
        <w:gridCol w:w="3256"/>
        <w:gridCol w:w="7470"/>
      </w:tblGrid>
      <w:tr w:rsidR="00961377" w:rsidTr="001F357F">
        <w:tc>
          <w:tcPr>
            <w:tcW w:w="531" w:type="dxa"/>
          </w:tcPr>
          <w:p w:rsidR="00961377" w:rsidRDefault="00961377"/>
        </w:tc>
        <w:tc>
          <w:tcPr>
            <w:tcW w:w="1428" w:type="dxa"/>
          </w:tcPr>
          <w:p w:rsidR="00961377" w:rsidRPr="00553989" w:rsidRDefault="00961377">
            <w:pPr>
              <w:rPr>
                <w:b/>
              </w:rPr>
            </w:pPr>
            <w:r w:rsidRPr="00553989">
              <w:rPr>
                <w:b/>
              </w:rPr>
              <w:t>Attribute</w:t>
            </w:r>
          </w:p>
        </w:tc>
        <w:tc>
          <w:tcPr>
            <w:tcW w:w="3256" w:type="dxa"/>
          </w:tcPr>
          <w:p w:rsidR="00961377" w:rsidRPr="00553989" w:rsidRDefault="00961377">
            <w:pPr>
              <w:rPr>
                <w:b/>
              </w:rPr>
            </w:pPr>
            <w:r w:rsidRPr="00553989">
              <w:rPr>
                <w:b/>
              </w:rPr>
              <w:t>Unit(s)</w:t>
            </w:r>
          </w:p>
        </w:tc>
        <w:tc>
          <w:tcPr>
            <w:tcW w:w="7470" w:type="dxa"/>
          </w:tcPr>
          <w:p w:rsidR="00961377" w:rsidRPr="00553989" w:rsidRDefault="00961377">
            <w:pPr>
              <w:rPr>
                <w:b/>
              </w:rPr>
            </w:pPr>
            <w:r w:rsidRPr="00553989">
              <w:rPr>
                <w:b/>
              </w:rPr>
              <w:t>Description</w:t>
            </w:r>
          </w:p>
        </w:tc>
      </w:tr>
      <w:tr w:rsidR="00961377" w:rsidTr="001F357F">
        <w:tc>
          <w:tcPr>
            <w:tcW w:w="531" w:type="dxa"/>
          </w:tcPr>
          <w:p w:rsidR="00961377" w:rsidRPr="00EE2125" w:rsidRDefault="00961377" w:rsidP="00961377">
            <w:pPr>
              <w:numPr>
                <w:ilvl w:val="0"/>
                <w:numId w:val="1"/>
              </w:numPr>
              <w:shd w:val="clear" w:color="auto" w:fill="FFFFFF"/>
              <w:spacing w:before="100" w:beforeAutospacing="1" w:after="150"/>
              <w:rPr>
                <w:rFonts w:ascii="Arial" w:hAnsi="Arial" w:cs="Arial"/>
                <w:color w:val="000000"/>
                <w:sz w:val="20"/>
                <w:szCs w:val="20"/>
              </w:rPr>
            </w:pPr>
          </w:p>
        </w:tc>
        <w:tc>
          <w:tcPr>
            <w:tcW w:w="1428" w:type="dxa"/>
          </w:tcPr>
          <w:p w:rsidR="00961377" w:rsidRPr="00EE2125" w:rsidRDefault="00961377" w:rsidP="00961377">
            <w:pPr>
              <w:shd w:val="clear" w:color="auto" w:fill="FFFFFF"/>
              <w:spacing w:before="100" w:beforeAutospacing="1" w:after="150"/>
              <w:ind w:left="-18" w:firstLine="18"/>
              <w:rPr>
                <w:rFonts w:ascii="Arial" w:hAnsi="Arial" w:cs="Arial"/>
                <w:color w:val="000000"/>
                <w:sz w:val="20"/>
                <w:szCs w:val="20"/>
              </w:rPr>
            </w:pPr>
            <w:r w:rsidRPr="00EE2125">
              <w:rPr>
                <w:rFonts w:ascii="Arial" w:hAnsi="Arial" w:cs="Arial"/>
                <w:b/>
                <w:bCs/>
                <w:color w:val="000000"/>
                <w:sz w:val="20"/>
                <w:szCs w:val="20"/>
              </w:rPr>
              <w:t>Discrete objects or events</w:t>
            </w:r>
            <w:r w:rsidRPr="00EE2125">
              <w:rPr>
                <w:rFonts w:ascii="Arial" w:hAnsi="Arial" w:cs="Arial"/>
                <w:color w:val="000000"/>
                <w:sz w:val="20"/>
                <w:szCs w:val="20"/>
              </w:rPr>
              <w:t xml:space="preserve">:  </w:t>
            </w:r>
          </w:p>
        </w:tc>
        <w:tc>
          <w:tcPr>
            <w:tcW w:w="3256" w:type="dxa"/>
          </w:tcPr>
          <w:p w:rsidR="00961377" w:rsidRDefault="00961377" w:rsidP="00961377">
            <w:r>
              <w:t>Number</w:t>
            </w:r>
          </w:p>
        </w:tc>
        <w:tc>
          <w:tcPr>
            <w:tcW w:w="7470" w:type="dxa"/>
          </w:tcPr>
          <w:p w:rsidR="00961377" w:rsidRDefault="00961377" w:rsidP="00961377">
            <w:r>
              <w:t>These are items that can be counted, for example: people in line, books, pencils, jumps, claps, paper clips, rulers, etc.</w:t>
            </w:r>
          </w:p>
        </w:tc>
      </w:tr>
      <w:tr w:rsidR="00961377" w:rsidTr="001F357F">
        <w:tc>
          <w:tcPr>
            <w:tcW w:w="531" w:type="dxa"/>
          </w:tcPr>
          <w:p w:rsidR="00961377" w:rsidRPr="00EE2125" w:rsidRDefault="00961377" w:rsidP="00961377">
            <w:pPr>
              <w:numPr>
                <w:ilvl w:val="0"/>
                <w:numId w:val="1"/>
              </w:numPr>
              <w:shd w:val="clear" w:color="auto" w:fill="FFFFFF"/>
              <w:spacing w:before="100" w:beforeAutospacing="1" w:after="150"/>
              <w:rPr>
                <w:rFonts w:ascii="Arial" w:hAnsi="Arial" w:cs="Arial"/>
                <w:color w:val="000000"/>
                <w:sz w:val="20"/>
                <w:szCs w:val="20"/>
              </w:rPr>
            </w:pPr>
          </w:p>
        </w:tc>
        <w:tc>
          <w:tcPr>
            <w:tcW w:w="1428" w:type="dxa"/>
          </w:tcPr>
          <w:p w:rsidR="00961377" w:rsidRPr="00EE2125" w:rsidRDefault="00961377" w:rsidP="00961377">
            <w:pPr>
              <w:shd w:val="clear" w:color="auto" w:fill="FFFFFF"/>
              <w:spacing w:before="100" w:beforeAutospacing="1" w:after="150"/>
              <w:ind w:left="-18" w:firstLine="18"/>
              <w:rPr>
                <w:rFonts w:ascii="Arial" w:hAnsi="Arial" w:cs="Arial"/>
                <w:color w:val="000000"/>
                <w:sz w:val="20"/>
                <w:szCs w:val="20"/>
              </w:rPr>
            </w:pPr>
            <w:r w:rsidRPr="00EE2125">
              <w:rPr>
                <w:rFonts w:ascii="Arial" w:hAnsi="Arial" w:cs="Arial"/>
                <w:b/>
                <w:bCs/>
                <w:color w:val="000000"/>
                <w:sz w:val="20"/>
                <w:szCs w:val="20"/>
              </w:rPr>
              <w:t>Length or distance</w:t>
            </w:r>
            <w:r w:rsidRPr="00EE2125">
              <w:rPr>
                <w:rFonts w:ascii="Arial" w:hAnsi="Arial" w:cs="Arial"/>
                <w:color w:val="000000"/>
                <w:sz w:val="20"/>
                <w:szCs w:val="20"/>
              </w:rPr>
              <w:t>:  </w:t>
            </w:r>
          </w:p>
        </w:tc>
        <w:tc>
          <w:tcPr>
            <w:tcW w:w="3256" w:type="dxa"/>
          </w:tcPr>
          <w:p w:rsidR="00961377" w:rsidRDefault="00961377" w:rsidP="00961377">
            <w:r>
              <w:t>Inches, feet, centimeters, meters, miles, etc.</w:t>
            </w:r>
          </w:p>
        </w:tc>
        <w:tc>
          <w:tcPr>
            <w:tcW w:w="7470" w:type="dxa"/>
          </w:tcPr>
          <w:p w:rsidR="00961377" w:rsidRDefault="00961377" w:rsidP="00961377">
            <w:r>
              <w:t>The length of an object or the distance between objects.  Please note that this includes width, height, and depth, too.</w:t>
            </w:r>
          </w:p>
        </w:tc>
      </w:tr>
      <w:tr w:rsidR="00961377" w:rsidTr="001F357F">
        <w:tc>
          <w:tcPr>
            <w:tcW w:w="531" w:type="dxa"/>
          </w:tcPr>
          <w:p w:rsidR="00961377" w:rsidRPr="00EE2125" w:rsidRDefault="00961377" w:rsidP="00961377">
            <w:pPr>
              <w:numPr>
                <w:ilvl w:val="0"/>
                <w:numId w:val="1"/>
              </w:numPr>
              <w:shd w:val="clear" w:color="auto" w:fill="FFFFFF"/>
              <w:spacing w:before="100" w:beforeAutospacing="1" w:after="150"/>
              <w:rPr>
                <w:rFonts w:ascii="Arial" w:hAnsi="Arial" w:cs="Arial"/>
                <w:color w:val="000000"/>
                <w:sz w:val="20"/>
                <w:szCs w:val="20"/>
              </w:rPr>
            </w:pPr>
          </w:p>
        </w:tc>
        <w:tc>
          <w:tcPr>
            <w:tcW w:w="1428" w:type="dxa"/>
          </w:tcPr>
          <w:p w:rsidR="00961377" w:rsidRPr="00EE2125" w:rsidRDefault="00961377" w:rsidP="00961377">
            <w:pPr>
              <w:shd w:val="clear" w:color="auto" w:fill="FFFFFF"/>
              <w:spacing w:before="100" w:beforeAutospacing="1" w:after="150"/>
              <w:ind w:left="-18" w:firstLine="18"/>
              <w:rPr>
                <w:rFonts w:ascii="Arial" w:hAnsi="Arial" w:cs="Arial"/>
                <w:color w:val="000000"/>
                <w:sz w:val="20"/>
                <w:szCs w:val="20"/>
              </w:rPr>
            </w:pPr>
            <w:r w:rsidRPr="00EE2125">
              <w:rPr>
                <w:rFonts w:ascii="Arial" w:hAnsi="Arial" w:cs="Arial"/>
                <w:b/>
                <w:bCs/>
                <w:color w:val="000000"/>
                <w:sz w:val="20"/>
                <w:szCs w:val="20"/>
              </w:rPr>
              <w:t>Area</w:t>
            </w:r>
            <w:r w:rsidRPr="00EE2125">
              <w:rPr>
                <w:rFonts w:ascii="Arial" w:hAnsi="Arial" w:cs="Arial"/>
                <w:color w:val="000000"/>
                <w:sz w:val="20"/>
                <w:szCs w:val="20"/>
              </w:rPr>
              <w:t>:  </w:t>
            </w:r>
          </w:p>
        </w:tc>
        <w:tc>
          <w:tcPr>
            <w:tcW w:w="3256" w:type="dxa"/>
          </w:tcPr>
          <w:p w:rsidR="00961377" w:rsidRDefault="00961377" w:rsidP="00961377">
            <w:r>
              <w:t>Acres, i</w:t>
            </w:r>
            <w:r>
              <w:t>nches</w:t>
            </w:r>
            <w:r w:rsidRPr="00961377">
              <w:rPr>
                <w:vertAlign w:val="superscript"/>
              </w:rPr>
              <w:t>2</w:t>
            </w:r>
            <w:r>
              <w:t>, feet</w:t>
            </w:r>
            <w:r w:rsidRPr="00961377">
              <w:rPr>
                <w:vertAlign w:val="superscript"/>
              </w:rPr>
              <w:t>2</w:t>
            </w:r>
            <w:r>
              <w:t>, centimeters</w:t>
            </w:r>
            <w:r w:rsidRPr="00961377">
              <w:rPr>
                <w:vertAlign w:val="superscript"/>
              </w:rPr>
              <w:t>2</w:t>
            </w:r>
            <w:r>
              <w:t>, meters</w:t>
            </w:r>
            <w:r w:rsidRPr="00961377">
              <w:rPr>
                <w:vertAlign w:val="superscript"/>
              </w:rPr>
              <w:t>2</w:t>
            </w:r>
            <w:r>
              <w:t>, miles</w:t>
            </w:r>
            <w:r w:rsidRPr="00961377">
              <w:rPr>
                <w:vertAlign w:val="superscript"/>
              </w:rPr>
              <w:t>2</w:t>
            </w:r>
            <w:r>
              <w:t>, etc.</w:t>
            </w:r>
          </w:p>
        </w:tc>
        <w:tc>
          <w:tcPr>
            <w:tcW w:w="7470" w:type="dxa"/>
          </w:tcPr>
          <w:p w:rsidR="00961377" w:rsidRPr="00961377" w:rsidRDefault="00961377" w:rsidP="00961377">
            <w:r>
              <w:t>The number of unit squares it takes to completely cover an object or shape.  Note that all of these have a squared (unit</w:t>
            </w:r>
            <w:r w:rsidRPr="00961377">
              <w:rPr>
                <w:vertAlign w:val="superscript"/>
              </w:rPr>
              <w:t>2</w:t>
            </w:r>
            <w:r>
              <w:t>) except for acre, which is a unit of area.  This is because area is a two dimensional measurement (length and width, typically)</w:t>
            </w:r>
          </w:p>
        </w:tc>
      </w:tr>
      <w:tr w:rsidR="00961377" w:rsidTr="001F357F">
        <w:tc>
          <w:tcPr>
            <w:tcW w:w="531" w:type="dxa"/>
          </w:tcPr>
          <w:p w:rsidR="00961377" w:rsidRPr="00EE2125" w:rsidRDefault="00961377" w:rsidP="00961377">
            <w:pPr>
              <w:numPr>
                <w:ilvl w:val="0"/>
                <w:numId w:val="1"/>
              </w:numPr>
              <w:shd w:val="clear" w:color="auto" w:fill="FFFFFF"/>
              <w:spacing w:before="100" w:beforeAutospacing="1" w:after="150"/>
              <w:rPr>
                <w:rFonts w:ascii="Arial" w:hAnsi="Arial" w:cs="Arial"/>
                <w:color w:val="000000"/>
                <w:sz w:val="20"/>
                <w:szCs w:val="20"/>
              </w:rPr>
            </w:pPr>
          </w:p>
        </w:tc>
        <w:tc>
          <w:tcPr>
            <w:tcW w:w="1428" w:type="dxa"/>
          </w:tcPr>
          <w:p w:rsidR="00961377" w:rsidRPr="00EE2125" w:rsidRDefault="00961377" w:rsidP="00961377">
            <w:pPr>
              <w:shd w:val="clear" w:color="auto" w:fill="FFFFFF"/>
              <w:spacing w:before="100" w:beforeAutospacing="1" w:after="150"/>
              <w:ind w:left="-18" w:firstLine="18"/>
              <w:rPr>
                <w:rFonts w:ascii="Arial" w:hAnsi="Arial" w:cs="Arial"/>
                <w:color w:val="000000"/>
                <w:sz w:val="20"/>
                <w:szCs w:val="20"/>
              </w:rPr>
            </w:pPr>
            <w:r w:rsidRPr="00EE2125">
              <w:rPr>
                <w:rFonts w:ascii="Arial" w:hAnsi="Arial" w:cs="Arial"/>
                <w:b/>
                <w:bCs/>
                <w:color w:val="000000"/>
                <w:sz w:val="20"/>
                <w:szCs w:val="20"/>
              </w:rPr>
              <w:t>Volume</w:t>
            </w:r>
            <w:r w:rsidRPr="00EE2125">
              <w:rPr>
                <w:rFonts w:ascii="Arial" w:hAnsi="Arial" w:cs="Arial"/>
                <w:color w:val="000000"/>
                <w:sz w:val="20"/>
                <w:szCs w:val="20"/>
              </w:rPr>
              <w:t>:  </w:t>
            </w:r>
          </w:p>
        </w:tc>
        <w:tc>
          <w:tcPr>
            <w:tcW w:w="3256" w:type="dxa"/>
          </w:tcPr>
          <w:p w:rsidR="00961377" w:rsidRDefault="00961377" w:rsidP="00961377">
            <w:r>
              <w:t>Teaspoons, tablespoons, fluid ounces, quarts, gallons, milliliters, liters.  Also includes: i</w:t>
            </w:r>
            <w:r>
              <w:t>nches</w:t>
            </w:r>
            <w:r>
              <w:rPr>
                <w:vertAlign w:val="superscript"/>
              </w:rPr>
              <w:t>3</w:t>
            </w:r>
            <w:r>
              <w:t>, feet</w:t>
            </w:r>
            <w:r>
              <w:rPr>
                <w:vertAlign w:val="superscript"/>
              </w:rPr>
              <w:t>3</w:t>
            </w:r>
            <w:r>
              <w:t>, centimeters</w:t>
            </w:r>
            <w:r>
              <w:rPr>
                <w:vertAlign w:val="superscript"/>
              </w:rPr>
              <w:t>3</w:t>
            </w:r>
            <w:r>
              <w:t>, meters</w:t>
            </w:r>
            <w:r>
              <w:rPr>
                <w:vertAlign w:val="superscript"/>
              </w:rPr>
              <w:t>3</w:t>
            </w:r>
            <w:r>
              <w:t>, miles</w:t>
            </w:r>
            <w:r>
              <w:rPr>
                <w:vertAlign w:val="superscript"/>
              </w:rPr>
              <w:t>3</w:t>
            </w:r>
            <w:r>
              <w:t>, etc.</w:t>
            </w:r>
          </w:p>
        </w:tc>
        <w:tc>
          <w:tcPr>
            <w:tcW w:w="7470" w:type="dxa"/>
          </w:tcPr>
          <w:p w:rsidR="00961377" w:rsidRDefault="00961377" w:rsidP="00961377">
            <w:r>
              <w:t>The number of unit cubes it takes to completely cover an object or shape.  Note that the linear measures are cubed (unit</w:t>
            </w:r>
            <w:r>
              <w:rPr>
                <w:vertAlign w:val="superscript"/>
              </w:rPr>
              <w:t>3</w:t>
            </w:r>
            <w:r>
              <w:t xml:space="preserve">).  This is because volume is a three dimensional measurement (length, width, and height typically).  </w:t>
            </w:r>
            <w:proofErr w:type="spellStart"/>
            <w:r>
              <w:t>Ini</w:t>
            </w:r>
            <w:proofErr w:type="spellEnd"/>
            <w:r>
              <w:t xml:space="preserve"> addition, there are other direct measures of volume.</w:t>
            </w:r>
          </w:p>
          <w:p w:rsidR="00961377" w:rsidRDefault="00961377" w:rsidP="00961377"/>
          <w:p w:rsidR="00961377" w:rsidRPr="00961377" w:rsidRDefault="00961377" w:rsidP="00961377">
            <w:r>
              <w:t xml:space="preserve">It is helpful to note that 1 ml is equivalent to 1 </w:t>
            </w:r>
            <w:proofErr w:type="gramStart"/>
            <w:r>
              <w:t>cm</w:t>
            </w:r>
            <w:r>
              <w:rPr>
                <w:vertAlign w:val="superscript"/>
              </w:rPr>
              <w:t>3</w:t>
            </w:r>
            <w:r>
              <w:t xml:space="preserve"> .</w:t>
            </w:r>
            <w:proofErr w:type="gramEnd"/>
          </w:p>
        </w:tc>
      </w:tr>
      <w:tr w:rsidR="00961377" w:rsidTr="001F357F">
        <w:tc>
          <w:tcPr>
            <w:tcW w:w="531" w:type="dxa"/>
          </w:tcPr>
          <w:p w:rsidR="00961377" w:rsidRPr="00EE2125" w:rsidRDefault="00961377" w:rsidP="00961377">
            <w:pPr>
              <w:numPr>
                <w:ilvl w:val="0"/>
                <w:numId w:val="1"/>
              </w:numPr>
              <w:shd w:val="clear" w:color="auto" w:fill="FFFFFF"/>
              <w:spacing w:before="100" w:beforeAutospacing="1" w:after="150"/>
              <w:rPr>
                <w:rFonts w:ascii="Arial" w:hAnsi="Arial" w:cs="Arial"/>
                <w:color w:val="000000"/>
                <w:sz w:val="20"/>
                <w:szCs w:val="20"/>
              </w:rPr>
            </w:pPr>
          </w:p>
        </w:tc>
        <w:tc>
          <w:tcPr>
            <w:tcW w:w="1428" w:type="dxa"/>
          </w:tcPr>
          <w:p w:rsidR="00961377" w:rsidRPr="00EE2125" w:rsidRDefault="00961377" w:rsidP="00961377">
            <w:pPr>
              <w:shd w:val="clear" w:color="auto" w:fill="FFFFFF"/>
              <w:spacing w:before="100" w:beforeAutospacing="1" w:after="150"/>
              <w:ind w:left="-18" w:firstLine="18"/>
              <w:rPr>
                <w:rFonts w:ascii="Arial" w:hAnsi="Arial" w:cs="Arial"/>
                <w:color w:val="000000"/>
                <w:sz w:val="20"/>
                <w:szCs w:val="20"/>
              </w:rPr>
            </w:pPr>
            <w:r w:rsidRPr="00EE2125">
              <w:rPr>
                <w:rFonts w:ascii="Arial" w:hAnsi="Arial" w:cs="Arial"/>
                <w:b/>
                <w:bCs/>
                <w:color w:val="000000"/>
                <w:sz w:val="20"/>
                <w:szCs w:val="20"/>
              </w:rPr>
              <w:t>Weight</w:t>
            </w:r>
            <w:r>
              <w:rPr>
                <w:rFonts w:ascii="Arial" w:hAnsi="Arial" w:cs="Arial"/>
                <w:b/>
                <w:bCs/>
                <w:color w:val="000000"/>
                <w:sz w:val="20"/>
                <w:szCs w:val="20"/>
              </w:rPr>
              <w:t xml:space="preserve"> (or mass)</w:t>
            </w:r>
            <w:r w:rsidRPr="00EE2125">
              <w:rPr>
                <w:rFonts w:ascii="Arial" w:hAnsi="Arial" w:cs="Arial"/>
                <w:color w:val="000000"/>
                <w:sz w:val="20"/>
                <w:szCs w:val="20"/>
              </w:rPr>
              <w:t>:  </w:t>
            </w:r>
          </w:p>
        </w:tc>
        <w:tc>
          <w:tcPr>
            <w:tcW w:w="3256" w:type="dxa"/>
          </w:tcPr>
          <w:p w:rsidR="00961377" w:rsidRDefault="00961377" w:rsidP="00961377">
            <w:r>
              <w:t>Ounces, pounds, grams, kilograms</w:t>
            </w:r>
          </w:p>
        </w:tc>
        <w:tc>
          <w:tcPr>
            <w:tcW w:w="7470" w:type="dxa"/>
          </w:tcPr>
          <w:p w:rsidR="00961377" w:rsidRDefault="00961377" w:rsidP="00961377">
            <w:r>
              <w:t>Weight is defined as the force of an object due to gr</w:t>
            </w:r>
            <w:r w:rsidR="001F357F">
              <w:t>avity.  Mass and weight are related.</w:t>
            </w:r>
          </w:p>
        </w:tc>
      </w:tr>
      <w:tr w:rsidR="00961377" w:rsidTr="001F357F">
        <w:tc>
          <w:tcPr>
            <w:tcW w:w="531" w:type="dxa"/>
          </w:tcPr>
          <w:p w:rsidR="00961377" w:rsidRPr="00EE2125" w:rsidRDefault="00961377" w:rsidP="00961377">
            <w:pPr>
              <w:numPr>
                <w:ilvl w:val="0"/>
                <w:numId w:val="1"/>
              </w:numPr>
              <w:shd w:val="clear" w:color="auto" w:fill="FFFFFF"/>
              <w:spacing w:before="100" w:beforeAutospacing="1" w:after="150"/>
              <w:rPr>
                <w:rFonts w:ascii="Arial" w:hAnsi="Arial" w:cs="Arial"/>
                <w:color w:val="000000"/>
                <w:sz w:val="20"/>
                <w:szCs w:val="20"/>
              </w:rPr>
            </w:pPr>
          </w:p>
        </w:tc>
        <w:tc>
          <w:tcPr>
            <w:tcW w:w="1428" w:type="dxa"/>
          </w:tcPr>
          <w:p w:rsidR="00961377" w:rsidRPr="00EE2125" w:rsidRDefault="00961377" w:rsidP="00961377">
            <w:pPr>
              <w:shd w:val="clear" w:color="auto" w:fill="FFFFFF"/>
              <w:spacing w:before="100" w:beforeAutospacing="1" w:after="150"/>
              <w:ind w:left="-18" w:firstLine="18"/>
              <w:rPr>
                <w:rFonts w:ascii="Arial" w:hAnsi="Arial" w:cs="Arial"/>
                <w:color w:val="000000"/>
                <w:sz w:val="20"/>
                <w:szCs w:val="20"/>
              </w:rPr>
            </w:pPr>
            <w:r w:rsidRPr="00EE2125">
              <w:rPr>
                <w:rFonts w:ascii="Arial" w:hAnsi="Arial" w:cs="Arial"/>
                <w:b/>
                <w:bCs/>
                <w:color w:val="000000"/>
                <w:sz w:val="20"/>
                <w:szCs w:val="20"/>
              </w:rPr>
              <w:t>Time</w:t>
            </w:r>
            <w:r w:rsidRPr="00EE2125">
              <w:rPr>
                <w:rFonts w:ascii="Arial" w:hAnsi="Arial" w:cs="Arial"/>
                <w:color w:val="000000"/>
                <w:sz w:val="20"/>
                <w:szCs w:val="20"/>
              </w:rPr>
              <w:t>:  </w:t>
            </w:r>
          </w:p>
        </w:tc>
        <w:tc>
          <w:tcPr>
            <w:tcW w:w="3256" w:type="dxa"/>
          </w:tcPr>
          <w:p w:rsidR="00961377" w:rsidRDefault="001F357F" w:rsidP="00961377">
            <w:r>
              <w:t>Seconds, minutes, hours, days, weeks, months, years, etc.</w:t>
            </w:r>
          </w:p>
        </w:tc>
        <w:tc>
          <w:tcPr>
            <w:tcW w:w="7470" w:type="dxa"/>
          </w:tcPr>
          <w:p w:rsidR="00961377" w:rsidRDefault="001F357F" w:rsidP="00961377">
            <w:r>
              <w:t>We measure time in both long and short periods.  These frequently show up hidden in rates such as mph (miles per hour).</w:t>
            </w:r>
          </w:p>
        </w:tc>
      </w:tr>
      <w:tr w:rsidR="00961377" w:rsidTr="001F357F">
        <w:tc>
          <w:tcPr>
            <w:tcW w:w="531" w:type="dxa"/>
          </w:tcPr>
          <w:p w:rsidR="00961377" w:rsidRPr="00EE2125" w:rsidRDefault="00961377" w:rsidP="00961377">
            <w:pPr>
              <w:numPr>
                <w:ilvl w:val="0"/>
                <w:numId w:val="1"/>
              </w:numPr>
              <w:shd w:val="clear" w:color="auto" w:fill="FFFFFF"/>
              <w:spacing w:before="100" w:beforeAutospacing="1" w:after="150"/>
              <w:rPr>
                <w:rFonts w:ascii="Arial" w:hAnsi="Arial" w:cs="Arial"/>
                <w:color w:val="000000"/>
                <w:sz w:val="20"/>
                <w:szCs w:val="20"/>
              </w:rPr>
            </w:pPr>
          </w:p>
        </w:tc>
        <w:tc>
          <w:tcPr>
            <w:tcW w:w="1428" w:type="dxa"/>
          </w:tcPr>
          <w:p w:rsidR="00961377" w:rsidRPr="00EE2125" w:rsidRDefault="00961377" w:rsidP="00961377">
            <w:pPr>
              <w:shd w:val="clear" w:color="auto" w:fill="FFFFFF"/>
              <w:spacing w:before="100" w:beforeAutospacing="1" w:after="150"/>
              <w:ind w:left="-18" w:firstLine="18"/>
              <w:rPr>
                <w:rFonts w:ascii="Arial" w:hAnsi="Arial" w:cs="Arial"/>
                <w:color w:val="000000"/>
                <w:sz w:val="20"/>
                <w:szCs w:val="20"/>
              </w:rPr>
            </w:pPr>
            <w:r w:rsidRPr="00EE2125">
              <w:rPr>
                <w:rFonts w:ascii="Arial" w:hAnsi="Arial" w:cs="Arial"/>
                <w:b/>
                <w:bCs/>
                <w:color w:val="000000"/>
                <w:sz w:val="20"/>
                <w:szCs w:val="20"/>
              </w:rPr>
              <w:t>Money</w:t>
            </w:r>
            <w:r w:rsidRPr="00EE2125">
              <w:rPr>
                <w:rFonts w:ascii="Arial" w:hAnsi="Arial" w:cs="Arial"/>
                <w:color w:val="000000"/>
                <w:sz w:val="20"/>
                <w:szCs w:val="20"/>
              </w:rPr>
              <w:t>:  </w:t>
            </w:r>
          </w:p>
        </w:tc>
        <w:tc>
          <w:tcPr>
            <w:tcW w:w="3256" w:type="dxa"/>
          </w:tcPr>
          <w:p w:rsidR="00961377" w:rsidRDefault="001F357F" w:rsidP="00961377">
            <w:r>
              <w:t>Dollars and cents in the US.  Other countries use different currencies</w:t>
            </w:r>
          </w:p>
        </w:tc>
        <w:tc>
          <w:tcPr>
            <w:tcW w:w="7470" w:type="dxa"/>
          </w:tcPr>
          <w:p w:rsidR="00961377" w:rsidRDefault="001F357F" w:rsidP="00961377">
            <w:r>
              <w:t>Cost, price, value</w:t>
            </w:r>
          </w:p>
        </w:tc>
      </w:tr>
      <w:tr w:rsidR="00961377" w:rsidTr="001F357F">
        <w:tc>
          <w:tcPr>
            <w:tcW w:w="531" w:type="dxa"/>
          </w:tcPr>
          <w:p w:rsidR="00961377" w:rsidRPr="00EE2125" w:rsidRDefault="00961377" w:rsidP="00961377">
            <w:pPr>
              <w:numPr>
                <w:ilvl w:val="0"/>
                <w:numId w:val="1"/>
              </w:numPr>
              <w:shd w:val="clear" w:color="auto" w:fill="FFFFFF"/>
              <w:spacing w:before="100" w:beforeAutospacing="1" w:after="150"/>
              <w:rPr>
                <w:rFonts w:ascii="Arial" w:hAnsi="Arial" w:cs="Arial"/>
                <w:color w:val="000000"/>
                <w:sz w:val="20"/>
                <w:szCs w:val="20"/>
              </w:rPr>
            </w:pPr>
          </w:p>
        </w:tc>
        <w:tc>
          <w:tcPr>
            <w:tcW w:w="1428" w:type="dxa"/>
          </w:tcPr>
          <w:p w:rsidR="00961377" w:rsidRPr="00EE2125" w:rsidRDefault="001F357F" w:rsidP="00961377">
            <w:pPr>
              <w:shd w:val="clear" w:color="auto" w:fill="FFFFFF"/>
              <w:spacing w:before="100" w:beforeAutospacing="1" w:after="150"/>
              <w:ind w:left="-18" w:firstLine="18"/>
              <w:rPr>
                <w:rFonts w:ascii="Arial" w:hAnsi="Arial" w:cs="Arial"/>
                <w:color w:val="000000"/>
                <w:sz w:val="20"/>
                <w:szCs w:val="20"/>
              </w:rPr>
            </w:pPr>
            <w:r>
              <w:rPr>
                <w:rFonts w:ascii="Arial" w:hAnsi="Arial" w:cs="Arial"/>
                <w:b/>
                <w:bCs/>
                <w:color w:val="000000"/>
                <w:sz w:val="20"/>
                <w:szCs w:val="20"/>
              </w:rPr>
              <w:t>Temperature (</w:t>
            </w:r>
            <w:r w:rsidR="00961377" w:rsidRPr="00EE2125">
              <w:rPr>
                <w:rFonts w:ascii="Arial" w:hAnsi="Arial" w:cs="Arial"/>
                <w:b/>
                <w:bCs/>
                <w:color w:val="000000"/>
                <w:sz w:val="20"/>
                <w:szCs w:val="20"/>
              </w:rPr>
              <w:t>Energy</w:t>
            </w:r>
            <w:r>
              <w:rPr>
                <w:rFonts w:ascii="Arial" w:hAnsi="Arial" w:cs="Arial"/>
                <w:color w:val="000000"/>
                <w:sz w:val="20"/>
                <w:szCs w:val="20"/>
              </w:rPr>
              <w:t>):</w:t>
            </w:r>
          </w:p>
        </w:tc>
        <w:tc>
          <w:tcPr>
            <w:tcW w:w="3256" w:type="dxa"/>
          </w:tcPr>
          <w:p w:rsidR="00961377" w:rsidRDefault="001F357F" w:rsidP="001F357F">
            <w:r>
              <w:t xml:space="preserve">Temperature is usually measured in Degrees:  typically Fahrenheit or Celsius (centigrade).  </w:t>
            </w:r>
          </w:p>
        </w:tc>
        <w:tc>
          <w:tcPr>
            <w:tcW w:w="7470" w:type="dxa"/>
          </w:tcPr>
          <w:p w:rsidR="00961377" w:rsidRDefault="001F357F" w:rsidP="00961377">
            <w:r>
              <w:t>In Scie</w:t>
            </w:r>
            <w:r>
              <w:t>nce, sometimes Kelvin is used.  In later middle school and high school, students may be introduced to other measurements of energy, force, sound, etc.  While these are typically combinations of other units, they sometimes have units of their own.</w:t>
            </w:r>
          </w:p>
        </w:tc>
      </w:tr>
      <w:tr w:rsidR="00961377" w:rsidTr="001F357F">
        <w:tc>
          <w:tcPr>
            <w:tcW w:w="531" w:type="dxa"/>
          </w:tcPr>
          <w:p w:rsidR="00961377" w:rsidRPr="00EE2125" w:rsidRDefault="00961377" w:rsidP="00961377">
            <w:pPr>
              <w:numPr>
                <w:ilvl w:val="0"/>
                <w:numId w:val="1"/>
              </w:numPr>
              <w:shd w:val="clear" w:color="auto" w:fill="FFFFFF"/>
              <w:spacing w:before="100" w:beforeAutospacing="1" w:after="150"/>
              <w:rPr>
                <w:rFonts w:ascii="Arial" w:hAnsi="Arial" w:cs="Arial"/>
                <w:color w:val="000000"/>
                <w:sz w:val="20"/>
                <w:szCs w:val="20"/>
              </w:rPr>
            </w:pPr>
          </w:p>
        </w:tc>
        <w:tc>
          <w:tcPr>
            <w:tcW w:w="1428" w:type="dxa"/>
          </w:tcPr>
          <w:p w:rsidR="00961377" w:rsidRPr="00EE2125" w:rsidRDefault="00961377" w:rsidP="00961377">
            <w:pPr>
              <w:shd w:val="clear" w:color="auto" w:fill="FFFFFF"/>
              <w:spacing w:before="100" w:beforeAutospacing="1" w:after="150"/>
              <w:ind w:left="-18" w:firstLine="18"/>
              <w:rPr>
                <w:rFonts w:ascii="Arial" w:hAnsi="Arial" w:cs="Arial"/>
                <w:color w:val="000000"/>
                <w:sz w:val="20"/>
                <w:szCs w:val="20"/>
              </w:rPr>
            </w:pPr>
            <w:r w:rsidRPr="00EE2125">
              <w:rPr>
                <w:rFonts w:ascii="Arial" w:hAnsi="Arial" w:cs="Arial"/>
                <w:b/>
                <w:bCs/>
                <w:color w:val="000000"/>
                <w:sz w:val="20"/>
                <w:szCs w:val="20"/>
              </w:rPr>
              <w:t>Angle of Rotation</w:t>
            </w:r>
            <w:r w:rsidRPr="00EE2125">
              <w:rPr>
                <w:rFonts w:ascii="Arial" w:hAnsi="Arial" w:cs="Arial"/>
                <w:color w:val="000000"/>
                <w:sz w:val="20"/>
                <w:szCs w:val="20"/>
              </w:rPr>
              <w:t>:  </w:t>
            </w:r>
          </w:p>
        </w:tc>
        <w:tc>
          <w:tcPr>
            <w:tcW w:w="3256" w:type="dxa"/>
          </w:tcPr>
          <w:p w:rsidR="00961377" w:rsidRDefault="001F357F" w:rsidP="00961377">
            <w:r>
              <w:t>Degrees or radians</w:t>
            </w:r>
          </w:p>
        </w:tc>
        <w:tc>
          <w:tcPr>
            <w:tcW w:w="7470" w:type="dxa"/>
          </w:tcPr>
          <w:p w:rsidR="00961377" w:rsidRDefault="001F357F" w:rsidP="00961377">
            <w:r>
              <w:t>This is used to describe a position of an object or course for navigation, angles, etc.</w:t>
            </w:r>
          </w:p>
        </w:tc>
      </w:tr>
    </w:tbl>
    <w:p w:rsidR="00961377" w:rsidRDefault="00961377"/>
    <w:sectPr w:rsidR="00961377" w:rsidSect="009613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66AA8"/>
    <w:multiLevelType w:val="multilevel"/>
    <w:tmpl w:val="039CE9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77"/>
    <w:rsid w:val="001F357F"/>
    <w:rsid w:val="00553989"/>
    <w:rsid w:val="00961377"/>
    <w:rsid w:val="0096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93C41-04E0-4D14-81D8-4110AFCE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dc:creator>
  <cp:keywords/>
  <dc:description/>
  <cp:lastModifiedBy>PDC</cp:lastModifiedBy>
  <cp:revision>1</cp:revision>
  <dcterms:created xsi:type="dcterms:W3CDTF">2019-01-02T14:51:00Z</dcterms:created>
  <dcterms:modified xsi:type="dcterms:W3CDTF">2019-01-02T15:13:00Z</dcterms:modified>
</cp:coreProperties>
</file>